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Commission File Number 001-41804</w:t>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Davis Commodities Limited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 Bukit Batok Crescent, #10-01, The Spire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658079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Delisting or Failure to Satisfy a Continued Listing Rule or Standard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previously disclosed, on March 19, 2025, Davis Commodities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received a deficiency notice from the staff of the Listing Qualifications Department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notifying the Company that, because the bid price of its listed security had closed at less than $1.00 per share for 30 consecutive business days, the Company was not in compliance with the minimum bid price requirement for continued listing on The Nasdaq Capital Market (the “</w:t>
      </w:r>
      <w:r>
        <w:rPr>
          <w:rFonts w:ascii="Times New Roman" w:cs="Times New Roman" w:eastAsia="Times New Roman" w:hAnsi="Times New Roman"/>
          <w:sz w:val="18"/>
          <w:szCs w:val="18"/>
          <w:b w:val="1"/>
          <w:bCs w:val="1"/>
          <w:color w:val="auto"/>
        </w:rPr>
        <w:t>Minimum Bid Price Rule</w:t>
      </w:r>
      <w:r>
        <w:rPr>
          <w:rFonts w:ascii="Times New Roman" w:cs="Times New Roman" w:eastAsia="Times New Roman" w:hAnsi="Times New Roman"/>
          <w:sz w:val="18"/>
          <w:szCs w:val="18"/>
          <w:color w:val="auto"/>
        </w:rPr>
        <w:t>”) and the Company was provided an initial 180 calendar days to regain compliance, which was later extended by an additional 180 calendar days until March 16, 2026.</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March 18, 2026, the Company received a letter (the “</w:t>
      </w:r>
      <w:r>
        <w:rPr>
          <w:rFonts w:ascii="Times New Roman" w:cs="Times New Roman" w:eastAsia="Times New Roman" w:hAnsi="Times New Roman"/>
          <w:sz w:val="18"/>
          <w:szCs w:val="18"/>
          <w:b w:val="1"/>
          <w:bCs w:val="1"/>
          <w:color w:val="auto"/>
        </w:rPr>
        <w:t>Staff Determination</w:t>
      </w:r>
      <w:r>
        <w:rPr>
          <w:rFonts w:ascii="Times New Roman" w:cs="Times New Roman" w:eastAsia="Times New Roman" w:hAnsi="Times New Roman"/>
          <w:sz w:val="18"/>
          <w:szCs w:val="18"/>
          <w:color w:val="auto"/>
        </w:rPr>
        <w:t>”) from the Staff notifying the Company that Nasdaq has determined to delist the Company’s securities from The Nasdaq Capital Market. The determination was made as a result of the Company’s failure to regain compliance with the Minimum Bid Price Rule within the prescribed period.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Company requests an appeal of this determination to a Nasdaq Hearings Panel by no later than 4:00 p.m. Eastern Time on March 25, 2026, trading of the Company’s securities will be suspended at the opening of business on March 25, 2026, and Nasdaq will file a Form 25-NSE with the Securities and Exchange Commission, which will remove the Company’s securities from listing and registration on Nasdaq.</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appeal Nasdaq’s determination to a Hearings Panel pursuant to the procedures set forth in the Nasdaq Listing Rule 5800 Series. Pursuant to Listing Rule 5815(a)(1)(B)(ii)(d), a timely request for a hearing will not stay the trading suspension of the securities of a Company afforded the second 180-day compliance period described in Rule 5810(c)(3)(A)(ii) that failed to regain compliance with the minimum bid price requirement during such period. However, while a hearing request will no longer stay the suspension of trading, it will stay the filing of Form 25-NSE pending the Hearings Panel’s decision.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request a hearing with the Hearings Panel at which it will request a suspension of delisting pending its return to compliance. There can be no assurance, however, that the Hearings Panel will accept the Company’s plan to regain compliance and/or grant the requested exception, nor can there be any assurance that compliance will be achieved.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furnishes this report on Form 6-K to satisfy its obligation under Listing Rule 5810(b) to make public disclosure of the subject deficiency and of the Staff Determination within four business days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certain forward-looking statements which reflect the Company’s intent, beliefs or current expectations about the future and can be recognized by the use of words such as “expects,” “will,” “anticipate,” or words of similar meaning. These forward-looking statements are not guarantees of any future performance and are necessarily estimates reflecting the best judgment of the senior management of the Company and involve a number of risks and uncertainties that could cause actual results to differ materially from those suggested by the forward-looking statements. As a consequence, these forward-looking statements should be considered in light of various important factors that could cause actual results to differ materially from estimates or projections contained in the forward-looking statements, which include, without limitation, the risk factors set forth in the Offer to Purchase. The Company cannot guarantee that any forward-looking statement will be realized, although it believes it has been prudent in its plans and assumptions. Achievement of future results is subject to risks, uncertainties and assumptions that may prove to be inaccurate. Should known or unknown risks or uncertainties materialize, or should underlying assumptions prove inaccurate, actual results could vary materially from those anticipated, estimated or projected. The Company undertakes no obligation to update publicly or release any revisions to these forward-looking statements to reflect events or circumstances or to reflect the occurrence of unanticipated events,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6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Davis Commodities Limited</w:t>
            </w:r>
          </w:p>
        </w:tc>
      </w:tr>
      <w:tr>
        <w:trPr>
          <w:trHeight w:val="43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Li Peng Leck</w:t>
            </w:r>
          </w:p>
        </w:tc>
      </w:tr>
      <w:tr>
        <w:trPr>
          <w:trHeight w:val="198"/>
        </w:trPr>
        <w:tc>
          <w:tcPr>
            <w:tcW w:w="4180" w:type="dxa"/>
            <w:vAlign w:val="bottom"/>
          </w:tcPr>
          <w:p>
            <w:pPr>
              <w:spacing w:after="0"/>
              <w:rPr>
                <w:sz w:val="17"/>
                <w:szCs w:val="17"/>
                <w:color w:val="auto"/>
              </w:rPr>
            </w:pPr>
          </w:p>
        </w:tc>
        <w:tc>
          <w:tcPr>
            <w:tcW w:w="3140" w:type="dxa"/>
            <w:vAlign w:val="bottom"/>
          </w:tcPr>
          <w:p>
            <w:pPr>
              <w:ind w:left="25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 Peng Leck</w:t>
            </w:r>
          </w:p>
        </w:tc>
      </w:tr>
      <w:tr>
        <w:trPr>
          <w:trHeight w:val="216"/>
        </w:trPr>
        <w:tc>
          <w:tcPr>
            <w:tcW w:w="4180" w:type="dxa"/>
            <w:vAlign w:val="bottom"/>
          </w:tcPr>
          <w:p>
            <w:pPr>
              <w:spacing w:after="0"/>
              <w:rPr>
                <w:sz w:val="18"/>
                <w:szCs w:val="18"/>
                <w:color w:val="auto"/>
              </w:rPr>
            </w:pPr>
          </w:p>
        </w:tc>
        <w:tc>
          <w:tcPr>
            <w:tcW w:w="31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Chairperson and Executive Director</w:t>
            </w:r>
          </w:p>
        </w:tc>
      </w:tr>
      <w:tr>
        <w:trPr>
          <w:trHeight w:val="234"/>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2026-03-20T15:05:04Z</dcterms:created>
  <dcterms:modified xsi:type="dcterms:W3CDTF">2026-03-20T15:05:04Z</dcterms:modified>
</cp:coreProperties>
</file>