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0" w:name="davis_6k.htm"/>
      <w:bookmarkStart w:id="1" w:name="ksdavis_6k"/>
      <w:bookmarkEnd w:id="0"/>
      <w:bookmarkEnd w:id="1"/>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September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001-41804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Davis Commodities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 Bukit Batok Crescent, #10-01, The Spire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Singapore 658079</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CONTAINED IN THIS REPORT ON FORM 6-K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21, 2026, Davis Commodities Limited (the “Company”) issued a press release regarding the announcement by The Nasdaq Stock Market LLC (“Nasdaq”) on September 17, 2026 that it will file a Form 25 Notification of Delisting with the U.S. Securities and Exchange Commission (the “SEC”) to complete the delisting of the Company’s Class A ordinary shares. The delisting will become effective ten days after the Form 25 is filed. A copy of the press release is furnished as Exhibit 99.1 to this Form 6-K.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information and background on the delisting determinations from Nasdaq may be found in the Company's Reports on Form 6-K furnished with the SEC on March 21, 2025, September 18, 2025, March 20, 2026 and August 14, 2026 and in the Company's Annual Report on Form 20-F for the year ended December 31, 2025.</w:t>
      </w:r>
    </w:p>
    <w:p>
      <w:pPr>
        <w:pStyle w:val="TextBody"/>
        <w:bidi w:val="0"/>
        <w:spacing w:before="0" w:after="0"/>
        <w:ind w:left="0" w:right="0" w:hanging="0"/>
        <w:jc w:val="both"/>
        <w:rPr>
          <w:caps w:val="false"/>
          <w:smallCaps w:val="false"/>
        </w:rPr>
      </w:pPr>
      <w:r>
        <w:rPr>
          <w:caps w:val="false"/>
          <w:smallCaps w:val="false"/>
        </w:rPr>
        <w:t>  </w:t>
      </w:r>
    </w:p>
    <w:tbl>
      <w:tblPr>
        <w:tblW w:w="6895" w:type="dxa"/>
        <w:jc w:val="left"/>
        <w:tblInd w:w="0" w:type="dxa"/>
        <w:tblLayout w:type="fixed"/>
        <w:tblCellMar>
          <w:top w:w="0" w:type="dxa"/>
          <w:left w:w="0" w:type="dxa"/>
          <w:bottom w:w="28" w:type="dxa"/>
          <w:right w:w="0" w:type="dxa"/>
        </w:tblCellMar>
      </w:tblPr>
      <w:tblGrid>
        <w:gridCol w:w="995"/>
        <w:gridCol w:w="60"/>
        <w:gridCol w:w="5840"/>
      </w:tblGrid>
      <w:tr>
        <w:trPr/>
        <w:tc>
          <w:tcPr>
            <w:tcW w:w="99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5840"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 of Exhibit</w:t>
            </w:r>
          </w:p>
        </w:tc>
      </w:tr>
      <w:tr>
        <w:trPr/>
        <w:tc>
          <w:tcPr>
            <w:tcW w:w="9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5840" w:type="dxa"/>
            <w:tcBorders/>
            <w:shd w:fill="CCEEFF" w:val="clear"/>
            <w:tcMar>
              <w:bottom w:w="0" w:type="dxa"/>
            </w:tcMar>
            <w:vAlign w:val="center"/>
          </w:tcPr>
          <w:p>
            <w:pPr>
              <w:pStyle w:val="TableContents"/>
              <w:bidi w:val="0"/>
              <w:spacing w:before="0" w:after="283"/>
              <w:jc w:val="left"/>
              <w:rPr/>
            </w:pPr>
            <w:hyperlink w:anchor="davis_ex9901.htm">
              <w:r>
                <w:rPr>
                  <w:rStyle w:val="InternetLink"/>
                  <w:rFonts w:ascii="Times New Roman;Times;Serif" w:hAnsi="Times New Roman;Times;Serif"/>
                  <w:sz w:val="20"/>
                </w:rPr>
                <w:t>Press release of Davis Commodities Limited, dated September 21, 2026.</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both"/>
        <w:rPr>
          <w:caps w:val="false"/>
          <w:smallCaps w:val="false"/>
        </w:rPr>
      </w:pPr>
      <w:r>
        <w:rPr>
          <w:caps w:val="false"/>
          <w:smallCaps w:val="false"/>
        </w:rPr>
        <w:t> </w:t>
      </w:r>
    </w:p>
    <w:tbl>
      <w:tblPr>
        <w:tblW w:w="4435" w:type="dxa"/>
        <w:jc w:val="left"/>
        <w:tblInd w:w="0" w:type="dxa"/>
        <w:tblLayout w:type="fixed"/>
        <w:tblCellMar>
          <w:top w:w="0" w:type="dxa"/>
          <w:left w:w="0" w:type="dxa"/>
          <w:bottom w:w="0" w:type="dxa"/>
          <w:right w:w="0" w:type="dxa"/>
        </w:tblCellMar>
      </w:tblPr>
      <w:tblGrid>
        <w:gridCol w:w="75"/>
        <w:gridCol w:w="545"/>
        <w:gridCol w:w="3815"/>
      </w:tblGrid>
      <w:tr>
        <w:trPr/>
        <w:tc>
          <w:tcPr>
            <w:tcW w:w="75" w:type="dxa"/>
            <w:tcBorders/>
            <w:vAlign w:val="center"/>
          </w:tcPr>
          <w:p>
            <w:pPr>
              <w:pStyle w:val="TableContents"/>
              <w:bidi w:val="0"/>
              <w:spacing w:before="0" w:after="283"/>
              <w:jc w:val="left"/>
              <w:rPr/>
            </w:pPr>
            <w:r>
              <w:rPr/>
              <w:t> </w:t>
            </w:r>
          </w:p>
        </w:tc>
        <w:tc>
          <w:tcPr>
            <w:tcW w:w="436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Davis Commodities Limited</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81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s</w:t>
            </w:r>
            <w:r>
              <w:rPr>
                <w:rFonts w:ascii="Times New Roman;Times;Serif" w:hAnsi="Times New Roman;Times;Serif"/>
                <w:sz w:val="20"/>
              </w:rPr>
              <w:t>/ </w:t>
            </w:r>
            <w:r>
              <w:rPr>
                <w:rFonts w:ascii="Times New Roman;Times;Serif" w:hAnsi="Times New Roman;Times;Serif"/>
                <w:i/>
                <w:sz w:val="20"/>
              </w:rPr>
              <w:t>Li Peng Leck</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8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 Peng Leck</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815" w:type="dxa"/>
            <w:tcBorders/>
            <w:vAlign w:val="center"/>
          </w:tcPr>
          <w:p>
            <w:pPr>
              <w:pStyle w:val="TableContents"/>
              <w:bidi w:val="0"/>
              <w:jc w:val="left"/>
              <w:rPr>
                <w:rFonts w:ascii="Times New Roman;Times;Serif" w:hAnsi="Times New Roman;Times;Serif"/>
                <w:sz w:val="20"/>
              </w:rPr>
            </w:pPr>
            <w:r>
              <w:rPr>
                <w:rFonts w:ascii="Times New Roman;Times;Serif" w:hAnsi="Times New Roman;Times;Serif"/>
                <w:sz w:val="20"/>
              </w:rPr>
              <w:t>Executive Chairperson and Executive Director</w:t>
            </w:r>
          </w:p>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21,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2" w:name="davis_ex9901.htm"/>
      <w:bookmarkStart w:id="3" w:name="ksdavis_ex9901"/>
      <w:bookmarkEnd w:id="2"/>
      <w:bookmarkEnd w:id="3"/>
      <w:r>
        <w:rPr>
          <w:b/>
        </w:rPr>
        <w:t>Exhibit 99.1</w:t>
      </w:r>
      <w:r>
        <w:br w:type="page"/>
      </w:r>
    </w:p>
    <w:p>
      <w:pPr>
        <w:pStyle w:val="TextBody"/>
        <w:bidi w:val="0"/>
        <w:spacing w:before="0" w:after="283"/>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Davis Commodities Limited Announces Nasdaq Delisting and Continued Quotation on OTC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SINGAPORE, September 21, 2026 — </w:t>
      </w:r>
      <w:r>
        <w:rPr>
          <w:rFonts w:ascii="Times New Roman;Times;Serif" w:hAnsi="Times New Roman;Times;Serif"/>
          <w:b w:val="false"/>
          <w:i w:val="false"/>
          <w:caps w:val="false"/>
          <w:smallCaps w:val="false"/>
          <w:sz w:val="20"/>
        </w:rPr>
        <w:t>Davis Commodities Limited (“Davis Commodities” or the “Company”), an agricultural commodity trading company specializing in the trading of sugar, rice, and oil and fat products, today announced that The Nasdaq Stock Market LLC (“Nasdaq”) has stated that it will delist the Company’s Class A ordinary shares from The Nasdaq Stock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trading in the Company’s Class A ordinary shares on Nasdaq was suspended on March 25, 2026 and has not resumed since that date. Nasdaq has stated that it will file a Form 25 with the U.S. Securities and Exchange Commission (the “SEC”) to complete the delisting, and that the delisting will become effective ten days after the Form 25 is filed.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Class A ordinary shares continue to be quoted on the OTC Markets under the symbol “DTCKF.” Shareholders may continue to obtain market quotations and trade the shares through broker-dealers that support transactions in securities quoted on OTC Markets, subject to applicable broker requirements and market conditions. There can be no assurance regarding the continued quotation of the Class A ordinary shares on OTC Markets, the development or maintenance of an active trading market, or the liquidity of any such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delisting from Nasdaq does not end the Company’s reporting obligations under the U.S. Securities Exchange Act of 1934, as amended. The Company will remain an SEC-reporting company and intends to continue complying with those obligations and to provide updates regarding material developments as required by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Davis Commodities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in Singapore, Davis Commodities Limited is an agricultural commodity trading company specializing in the trading of sugar, rice, and oil and fat products across markets including Asia, Africa and the Middle East. The Company sources, markets and distributes commodities under its principal brands, including Maxwill and Taffy in Singapore.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provides complementary services supporting its commodity trading activities, including warehouse handling, storage and logistics services. Through its established network of commodity suppliers and logistics service providers, Davis Commodities serves customers across multiple international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please visit the Company’s investor relations website at ir.daviscl.com.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in this press release may constitute “forward-looking statements” within the meaning of applicable securities laws. Such statements include, among other things, statements concerning the Company’s future plans, regulatory and reporting obligations, the Nasdaq delisting process, the continued quotation and trading of the Company’s Class A ordinary shares on OTC Markets, and the Company’s future business and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involve known and unknown risks, uncertainties and other factors that may cause actual results, performance or developments to differ materially from those expressed or implied by such statements. These statements are based on management’s current expectations and assumptions and are subject to risks and uncertainties described in the Company’s filings with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undertakes no obligation to publicly update or revise any forward-looking statements to reflect subsequent events, circumstances or changes in expectations, except as required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Davis Commodities Limited</w:t>
        <w:br/>
        <w:t>Investor Relations Department</w:t>
        <w:br/>
        <w:t>Email: investors@daviscl.com</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824</Words>
  <Characters>4735</Characters>
  <CharactersWithSpaces>5598</CharactersWithSpaces>
  <Paragraphs>137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