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Commodities Limited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Bukit Batok Crescent, #10-01, The Spire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658079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3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934720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 the registration statement of Davis Commodities Limited on Form F-3 (File No. 333-286042) filed with the SEC on March 24, 2025, to the extent not superseded by documents or reports subsequently filed or furnished.</w:t>
      </w:r>
    </w:p>
    <w:p>
      <w:pPr>
        <w:spacing w:after="0" w:line="37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Resignation and Appointment of Independent Director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2026, the board of directors (the “Board”) of Davis Commodities Limited (the “Company”) accepted the resignation of Mr. Leyng Thai Weng (“Mr. Leyng”) as an Independent Non-Executive Director of the Company, including his roles as a member of the nominating and corporate governance committee of the Board (“Nominating and Corporate Governance Committee”), a member of the audit committee of the Board (“Audit Committee”), and chairperson of the compensation committee of the Board (“Compensation Committee”), effective on the same day (the “Resignation”). Mr. Leyng resigned due to other time commitments, and his resignation was not the result of any disagreement with the Board or the Company on any matter relating to the Company’s operations, policies or practices.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 2026, the Board appointed Mr. Lim Chow Sheng (“Mr. Lim”) as (i) an Independent Non-Executive Director of the Company, (ii) a member of each of the Nominating and Corporate Governance Committee, the Audit Committee, and the Compensation Committee, and (iii) chairperson of the Compensation Committee, in each case effective on April 1, 2026 (the “Appointment”). The Board has determined that Mr. Lim qualifies as an independent director under the applicable corporate governance rules of The Nasdaq Stock Market LLC, satisfies the applicable independence requirements for service on the Audit Committee under section 301 of the Sarbanes-Oxley Act of 2002, as amended, Rule 10A-3 under the Securities Exchange Act of 1934, as amended, and satisfies the applicable independence requirements for service on the Nominating and Corporate Governance Committee and the Compensation Committee under the Nasdaq listing rules.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Lim, age 46, has over 20 years of experience in accounting, finance and audit. Since March 2020, he has served as a director of a Singapore-based accounting services firm. Prior to that, he held various finance, accounting and audit roles with companies in Singapore and Malaysia. Mr. Lim received a Bachelor of Accountancy with Honours from University Utara Malaysia in 2004.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Lim does not have any family relationship with any director or executive officer of the Company. Since the beginning of the Company’s last completed fiscal year, there have been no transactions, and there are no proposed transactions, in which the Company was or is to be a participant and in which Mr. Lim had, or will have, a direct or indirect material interest that would require disclosure under Item 404(a)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Davis Commodities Limited</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13, 2026</w:t>
            </w: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Li Peng Leck</w:t>
            </w:r>
          </w:p>
        </w:tc>
      </w:tr>
      <w:tr>
        <w:trPr>
          <w:trHeight w:val="191"/>
        </w:trPr>
        <w:tc>
          <w:tcPr>
            <w:tcW w:w="3800" w:type="dxa"/>
            <w:vAlign w:val="bottom"/>
          </w:tcPr>
          <w:p>
            <w:pPr>
              <w:spacing w:after="0"/>
              <w:rPr>
                <w:sz w:val="16"/>
                <w:szCs w:val="16"/>
                <w:color w:val="auto"/>
              </w:rPr>
            </w:pPr>
          </w:p>
        </w:tc>
        <w:tc>
          <w:tcPr>
            <w:tcW w:w="2840" w:type="dxa"/>
            <w:vAlign w:val="bottom"/>
          </w:tcPr>
          <w:p>
            <w:pPr>
              <w:ind w:left="22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 Peng Leck</w:t>
            </w:r>
          </w:p>
        </w:tc>
      </w:tr>
      <w:tr>
        <w:trPr>
          <w:trHeight w:val="216"/>
        </w:trPr>
        <w:tc>
          <w:tcPr>
            <w:tcW w:w="3800" w:type="dxa"/>
            <w:vAlign w:val="bottom"/>
          </w:tcPr>
          <w:p>
            <w:pPr>
              <w:spacing w:after="0"/>
              <w:rPr>
                <w:sz w:val="18"/>
                <w:szCs w:val="18"/>
                <w:color w:val="auto"/>
              </w:rPr>
            </w:pPr>
          </w:p>
        </w:tc>
        <w:tc>
          <w:tcPr>
            <w:tcW w:w="284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Chairperson and Executive Director (Principal</w:t>
            </w:r>
          </w:p>
        </w:tc>
      </w:tr>
      <w:tr>
        <w:trPr>
          <w:trHeight w:val="234"/>
        </w:trPr>
        <w:tc>
          <w:tcPr>
            <w:tcW w:w="38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2026-04-13T11:25:25Z</dcterms:created>
  <dcterms:modified xsi:type="dcterms:W3CDTF">2026-04-13T11:25:25Z</dcterms:modified>
</cp:coreProperties>
</file>